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IOROMeta"/>
        <w:spacing w:after="200"/>
      </w:pPr>
      <w:r>
        <w:rPr>
          <w:b/>
          <w:bCs/>
        </w:rPr>
        <w:t xml:space="preserve">Volume: </w:t>
      </w:r>
      <w:r>
        <w:rPr>
          <w:color w:val="5F6B73"/>
        </w:rPr>
        <w:t xml:space="preserve">1</w:t>
      </w:r>
      <w:r>
        <w:rPr>
          <w:b/>
          <w:bCs/>
        </w:rPr>
        <w:t xml:space="preserve">   •   Issue: </w:t>
      </w:r>
      <w:r>
        <w:rPr>
          <w:color w:val="5F6B73"/>
        </w:rPr>
        <w:t xml:space="preserve">1</w:t>
      </w:r>
      <w:r>
        <w:rPr>
          <w:b/>
          <w:bCs/>
        </w:rPr>
        <w:t xml:space="preserve">   •   Article ID: </w:t>
      </w:r>
      <w:r>
        <w:rPr>
          <w:color w:val="5F6B73"/>
        </w:rPr>
        <w:t xml:space="preserve">2126-0621-7392</w:t>
      </w:r>
      <w:r>
        <w:rPr>
          <w:b/>
          <w:bCs/>
        </w:rPr>
        <w:t xml:space="preserve">   •   DOI: </w:t>
      </w:r>
      <w:r>
        <w:rPr>
          <w:color w:val="5F6B73"/>
        </w:rPr>
        <w:t xml:space="preserve">10.64823/{journalSlug}.{doiValue}</w:t>
      </w:r>
    </w:p>
    <w:p>
      <w:pPr>
        <w:pStyle w:val="IOROTitle"/>
      </w:pPr>
      <w:r>
        <w:t xml:space="preserve">Article Title Goes Here: A Concise, Specific, and Descriptive Heading</w:t>
      </w:r>
    </w:p>
    <w:p>
      <w:pPr>
        <w:pStyle w:val="IOROAuthors"/>
      </w:pPr>
      <w:r>
        <w:t xml:space="preserve">First A. Author</w:t>
      </w:r>
      <w:r>
        <w:rPr>
          <w:vertAlign w:val="superscript"/>
        </w:rPr>
        <w:t xml:space="preserve"> 1</w:t>
      </w:r>
      <w:r>
        <w:t xml:space="preserve">, Second B. Author</w:t>
      </w:r>
      <w:r>
        <w:rPr>
          <w:vertAlign w:val="superscript"/>
        </w:rPr>
        <w:t xml:space="preserve"> 2</w:t>
      </w:r>
      <w:r>
        <w:t xml:space="preserve">, Third C. Author</w:t>
      </w:r>
      <w:r>
        <w:rPr>
          <w:vertAlign w:val="superscript"/>
        </w:rPr>
        <w:t xml:space="preserve"> 1,*</w:t>
      </w:r>
    </w:p>
    <w:p>
      <w:pPr>
        <w:pStyle w:val="IOROAffil"/>
      </w:pPr>
      <w:r>
        <w:rPr>
          <w:vertAlign w:val="superscript"/>
        </w:rPr>
        <w:t xml:space="preserve">1</w:t>
      </w:r>
      <w:r>
        <w:t xml:space="preserve"> Department, Institution, City, Country</w:t>
      </w:r>
    </w:p>
    <w:p>
      <w:pPr>
        <w:pStyle w:val="IOROAffil"/>
      </w:pPr>
      <w:r>
        <w:rPr>
          <w:vertAlign w:val="superscript"/>
        </w:rPr>
        <w:t xml:space="preserve">2</w:t>
      </w:r>
      <w:r>
        <w:t xml:space="preserve"> Department, Institution, City, Country</w:t>
      </w:r>
    </w:p>
    <w:p>
      <w:pPr>
        <w:pStyle w:val="IOROCorr"/>
      </w:pPr>
      <w:r>
        <w:rPr>
          <w:b/>
          <w:bCs/>
        </w:rPr>
        <w:t xml:space="preserve">* Corresponding author: </w:t>
      </w:r>
      <w:r>
        <w:t xml:space="preserve">author@institution.edu</w:t>
      </w:r>
      <w:r>
        <w:rPr>
          <w:color w:val="6A6A6A"/>
        </w:rPr>
        <w:t xml:space="preserve">   •   ORCID: 0000-0000-0000-0000 (optional)</w:t>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9638"/>
      </w:tblGrid>
      <w:tr>
        <w:tc>
          <w:tcPr>
            <w:tcW w:type="dxa" w:w="9638"/>
            <w:tcBorders>
              <w:top w:val="single" w:color="C9D9E6" w:sz="4"/>
              <w:left w:val="single" w:color="15384F" w:sz="24"/>
              <w:bottom w:val="single" w:color="C9D9E6" w:sz="4"/>
              <w:right w:val="single" w:color="C9D9E6" w:sz="4"/>
            </w:tcBorders>
            <w:shd w:fill="F0F5F9" w:val="clear"/>
            <w:tcMar>
              <w:top w:type="dxa" w:w="140"/>
              <w:left w:type="dxa" w:w="220"/>
              <w:bottom w:type="dxa" w:w="140"/>
              <w:right w:type="dxa" w:w="200"/>
            </w:tcMar>
          </w:tcPr>
          <w:p>
            <w:pPr>
              <w:pStyle w:val="IOROAbsHead"/>
              <w:spacing w:after="60" w:before="0"/>
            </w:pPr>
            <w:r>
              <w:rPr>
                <w:color w:val="15384F"/>
              </w:rPr>
              <w:t xml:space="preserve">Abstract</w:t>
            </w:r>
          </w:p>
          <w:p>
            <w:pPr>
              <w:pStyle w:val="IOROAbstract"/>
            </w:pPr>
            <w:r>
              <w:t xml:space="preserve">The abstract is a single, unstructured paragraph of 150–250 words that states the problem, the approach, the principal results, and the main conclusion. It should be self-contained, contain no citations, undefined abbreviations, or references to figures and tables, and should allow a reader to grasp the contribution without reading the full article. This sample text demonstrates the IORO Abstract Body style inside the shaded abstract box.</w:t>
            </w:r>
          </w:p>
          <w:p>
            <w:pPr>
              <w:pStyle w:val="IOROKeywords"/>
              <w:spacing w:after="0" w:before="40"/>
            </w:pPr>
            <w:r>
              <w:rPr>
                <w:b/>
                <w:bCs/>
                <w:color w:val="15384F"/>
              </w:rPr>
              <w:t xml:space="preserve">Keywords: </w:t>
            </w:r>
            <w:r>
              <w:t xml:space="preserve">keyword one; keyword two; keyword three; keyword four; keyword five</w:t>
            </w:r>
          </w:p>
        </w:tc>
      </w:tr>
    </w:tbl>
    <w:p>
      <w:pPr>
        <w:spacing w:after="40"/>
      </w:pPr>
      <w:r>
        <w:t xml:space="preserve"/>
      </w:r>
    </w:p>
    <w:p>
      <w:pPr>
        <w:pStyle w:val="IOROHeading1"/>
        <w:numPr>
          <w:ilvl w:val="0"/>
          <w:numId w:val="2"/>
        </w:numPr>
      </w:pPr>
      <w:r>
        <w:t xml:space="preserve">Introduction</w:t>
      </w:r>
    </w:p>
    <w:p>
      <w:pPr>
        <w:pStyle w:val="IOROBody"/>
      </w:pPr>
      <w:r>
        <w:t xml:space="preserve">The introduction establishes the context and motivation, states the research problem and its significance, summarises the gap in existing knowledge, and ends with the specific objectives or contributions of the paper. In-text citations follow the IEEE numeric style, with bracketed numbers in order of first appearance [1]. Multiple sources may be grouped [2], [3].</w:t>
      </w:r>
    </w:p>
    <w:p>
      <w:pPr>
        <w:pStyle w:val="IOROBody"/>
      </w:pPr>
      <w:r>
        <w:t xml:space="preserve">Every paragraph in the article body uses the single “IORO Body” style. Authors should never apply manual font changes, manual line spacing, or manual spacing before/after paragraphs; all of these are controlled by the style definitions so that production and XML conversion remain fully automated.</w:t>
      </w:r>
    </w:p>
    <w:p>
      <w:pPr>
        <w:pStyle w:val="IOROHeading1"/>
        <w:numPr>
          <w:ilvl w:val="0"/>
          <w:numId w:val="2"/>
        </w:numPr>
      </w:pPr>
      <w:r>
        <w:t xml:space="preserve">Literature Review</w:t>
      </w:r>
    </w:p>
    <w:p>
      <w:pPr>
        <w:pStyle w:val="IOROBody"/>
      </w:pPr>
      <w:r>
        <w:t xml:space="preserve">This section surveys and critically synthesises prior work, organised thematically rather than as a list of summaries. It should make explicit how the present study extends, challenges, or fills a gap in the cited literature [4], [5].</w:t>
      </w:r>
    </w:p>
    <w:p>
      <w:pPr>
        <w:pStyle w:val="IOROHeading2"/>
        <w:numPr>
          <w:ilvl w:val="1"/>
          <w:numId w:val="2"/>
        </w:numPr>
      </w:pPr>
      <w:r>
        <w:t xml:space="preserve">A Subsection Heading</w:t>
      </w:r>
    </w:p>
    <w:p>
      <w:pPr>
        <w:pStyle w:val="IOROBody"/>
      </w:pPr>
      <w:r>
        <w:t xml:space="preserve">Subsections use Heading 2 and are numbered automatically as 2.1, 2.2, and so on. A third level (Heading 3) is available for finer structure and renders in bold italic.</w:t>
      </w:r>
    </w:p>
    <w:p>
      <w:pPr>
        <w:pStyle w:val="IOROHeading2"/>
        <w:numPr>
          <w:ilvl w:val="1"/>
          <w:numId w:val="2"/>
        </w:numPr>
      </w:pPr>
      <w:r>
        <w:t xml:space="preserve">Lists, Quotations, and Notation</w:t>
      </w:r>
    </w:p>
    <w:p>
      <w:pPr>
        <w:pStyle w:val="IOROBody"/>
      </w:pPr>
      <w:r>
        <w:t xml:space="preserve">Bulleted lists use the “bullets” list and support sub-items. Apply the list, never type bullet characters by hand:</w:t>
      </w:r>
    </w:p>
    <w:p>
      <w:pPr>
        <w:pStyle w:val="IOROBody"/>
        <w:numPr>
          <w:ilvl w:val="0"/>
          <w:numId w:val="3"/>
        </w:numPr>
        <w:spacing w:after="40"/>
      </w:pPr>
      <w:r>
        <w:t xml:space="preserve">First-level bullet item.</w:t>
      </w:r>
    </w:p>
    <w:p>
      <w:pPr>
        <w:pStyle w:val="IOROBody"/>
        <w:numPr>
          <w:ilvl w:val="1"/>
          <w:numId w:val="3"/>
        </w:numPr>
        <w:spacing w:after="40"/>
      </w:pPr>
      <w:r>
        <w:t xml:space="preserve">Second-level sub-bullet (en dash).</w:t>
      </w:r>
    </w:p>
    <w:p>
      <w:pPr>
        <w:pStyle w:val="IOROBody"/>
        <w:numPr>
          <w:ilvl w:val="2"/>
          <w:numId w:val="3"/>
        </w:numPr>
        <w:spacing w:after="40"/>
      </w:pPr>
      <w:r>
        <w:t xml:space="preserve">Third-level sub-bullet (hollow circle).</w:t>
      </w:r>
    </w:p>
    <w:p>
      <w:pPr>
        <w:pStyle w:val="IOROBody"/>
        <w:numPr>
          <w:ilvl w:val="0"/>
          <w:numId w:val="3"/>
        </w:numPr>
        <w:spacing w:after="80"/>
      </w:pPr>
      <w:r>
        <w:t xml:space="preserve">Another first-level item.</w:t>
      </w:r>
    </w:p>
    <w:p>
      <w:pPr>
        <w:pStyle w:val="IOROBody"/>
      </w:pPr>
      <w:r>
        <w:t xml:space="preserve">Numbered lists use the “numlist” list, which nests as 1 → a → i:</w:t>
      </w:r>
    </w:p>
    <w:p>
      <w:pPr>
        <w:pStyle w:val="IOROBody"/>
        <w:numPr>
          <w:ilvl w:val="0"/>
          <w:numId w:val="4"/>
        </w:numPr>
        <w:spacing w:after="40"/>
      </w:pPr>
      <w:r>
        <w:t xml:space="preserve">First numbered step.</w:t>
      </w:r>
    </w:p>
    <w:p>
      <w:pPr>
        <w:pStyle w:val="IOROBody"/>
        <w:numPr>
          <w:ilvl w:val="1"/>
          <w:numId w:val="4"/>
        </w:numPr>
        <w:spacing w:after="40"/>
      </w:pPr>
      <w:r>
        <w:t xml:space="preserve">Lettered sub-step.</w:t>
      </w:r>
    </w:p>
    <w:p>
      <w:pPr>
        <w:pStyle w:val="IOROBody"/>
        <w:numPr>
          <w:ilvl w:val="2"/>
          <w:numId w:val="4"/>
        </w:numPr>
        <w:spacing w:after="40"/>
      </w:pPr>
      <w:r>
        <w:t xml:space="preserve">Roman-numeral sub-sub-step.</w:t>
      </w:r>
    </w:p>
    <w:p>
      <w:pPr>
        <w:pStyle w:val="IOROBody"/>
        <w:numPr>
          <w:ilvl w:val="0"/>
          <w:numId w:val="4"/>
        </w:numPr>
        <w:spacing w:after="80"/>
      </w:pPr>
      <w:r>
        <w:t xml:space="preserve">Second numbered step.</w:t>
      </w:r>
    </w:p>
    <w:p>
      <w:pPr>
        <w:pStyle w:val="IOROBody"/>
      </w:pPr>
      <w:r>
        <w:t xml:space="preserve">Long verbatim passages use the block-quote style — indented, italic, with a left rule:</w:t>
      </w:r>
    </w:p>
    <w:p>
      <w:pPr>
        <w:pStyle w:val="IOROQuote"/>
      </w:pPr>
      <w:r>
        <w:t xml:space="preserve">A block quotation is set off from the main text so the reader can see at a glance that the words are quoted. It carries its own indent and left accent rule, and omits quotation marks.</w:t>
      </w:r>
    </w:p>
    <w:p>
      <w:pPr>
        <w:pStyle w:val="IOROBody"/>
      </w:pPr>
      <w:r>
        <w:t xml:space="preserve">Inline notation is also supported: italic for terms and non-English words such as </w:t>
      </w:r>
      <w:r>
        <w:rPr>
          <w:i/>
          <w:iCs/>
        </w:rPr>
        <w:t xml:space="preserve">Vipatra</w:t>
      </w:r>
      <w:r>
        <w:t xml:space="preserve">, monospace for code or identifiers such as </w:t>
      </w:r>
      <w:r>
        <w:rPr>
          <w:rFonts w:ascii="Consolas" w:cs="Consolas" w:eastAsia="Consolas" w:hAnsi="Consolas"/>
          <w:sz w:val="20"/>
          <w:szCs w:val="20"/>
          <w:shd w:fill="EEF0F2" w:val="clear"/>
        </w:rPr>
        <w:t xml:space="preserve"> model.fit() </w:t>
      </w:r>
      <w:r>
        <w:t xml:space="preserve">, subscripts such as H</w:t>
      </w:r>
      <w:r>
        <w:rPr>
          <w:vertAlign w:val="subscript"/>
        </w:rPr>
        <w:t xml:space="preserve">2</w:t>
      </w:r>
      <w:r>
        <w:t xml:space="preserve">O, superscripts such as x</w:t>
      </w:r>
      <w:r>
        <w:rPr>
          <w:vertAlign w:val="superscript"/>
        </w:rPr>
        <w:t xml:space="preserve">2</w:t>
      </w:r>
      <w:r>
        <w:t xml:space="preserve">, and footnotes for asides.</w:t>
      </w:r>
      <w:r>
        <w:rPr>
          <w:rStyle w:val="FootnoteReference"/>
        </w:rPr>
        <w:footnoteReference w:id="1"/>
      </w:r>
    </w:p>
    <w:p>
      <w:pPr>
        <w:pStyle w:val="IOROHeading1"/>
        <w:numPr>
          <w:ilvl w:val="0"/>
          <w:numId w:val="2"/>
        </w:numPr>
      </w:pPr>
      <w:r>
        <w:t xml:space="preserve">Methodology</w:t>
      </w:r>
    </w:p>
    <w:p>
      <w:pPr>
        <w:pStyle w:val="IOROBody"/>
      </w:pPr>
      <w:r>
        <w:t xml:space="preserve">The methodology describes the design, data, and procedures in enough detail to permit replication. Variables, instruments, and analytical techniques should each be defined precisely.</w:t>
      </w:r>
    </w:p>
    <w:p>
      <w:pPr>
        <w:pStyle w:val="IOROTabCap"/>
      </w:pPr>
      <w:r>
        <w:t xml:space="preserve">Table 1. Summary of experimental parameters.</w:t>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3213"/>
        <w:gridCol w:w="3213"/>
        <w:gridCol w:w="3212"/>
      </w:tblGrid>
      <w:tr>
        <w:trPr>
          <w:tblHeader/>
        </w:trPr>
        <w:tc>
          <w:tcPr>
            <w:tcBorders>
              <w:top w:val="single" w:color="15384F" w:sz="6"/>
              <w:left w:val="none" w:color="FFFFFF" w:sz="0"/>
              <w:bottom w:val="single" w:color="15384F" w:sz="6"/>
              <w:right w:val="none" w:color="FFFFFF" w:sz="0"/>
            </w:tcBorders>
            <w:shd w:fill="15384F" w:val="clear"/>
            <w:tcMar>
              <w:top w:type="dxa" w:w="60"/>
              <w:left w:type="dxa" w:w="100"/>
              <w:bottom w:type="dxa" w:w="60"/>
              <w:right w:type="dxa" w:w="100"/>
            </w:tcMar>
          </w:tcPr>
          <w:p>
            <w:r>
              <w:rPr>
                <w:b/>
                <w:bCs/>
                <w:color w:val="FFFFFF"/>
                <w:sz w:val="20"/>
                <w:szCs w:val="20"/>
              </w:rPr>
              <w:t xml:space="preserve">Parameter</w:t>
            </w:r>
          </w:p>
        </w:tc>
        <w:tc>
          <w:tcPr>
            <w:tcBorders>
              <w:top w:val="single" w:color="15384F" w:sz="6"/>
              <w:left w:val="none" w:color="FFFFFF" w:sz="0"/>
              <w:bottom w:val="single" w:color="15384F" w:sz="6"/>
              <w:right w:val="none" w:color="FFFFFF" w:sz="0"/>
            </w:tcBorders>
            <w:shd w:fill="15384F" w:val="clear"/>
            <w:tcMar>
              <w:top w:type="dxa" w:w="60"/>
              <w:left w:type="dxa" w:w="100"/>
              <w:bottom w:type="dxa" w:w="60"/>
              <w:right w:type="dxa" w:w="100"/>
            </w:tcMar>
          </w:tcPr>
          <w:p>
            <w:r>
              <w:rPr>
                <w:b/>
                <w:bCs/>
                <w:color w:val="FFFFFF"/>
                <w:sz w:val="20"/>
                <w:szCs w:val="20"/>
              </w:rPr>
              <w:t xml:space="preserve">Setting</w:t>
            </w:r>
          </w:p>
        </w:tc>
        <w:tc>
          <w:tcPr>
            <w:tcBorders>
              <w:top w:val="single" w:color="15384F" w:sz="6"/>
              <w:left w:val="none" w:color="FFFFFF" w:sz="0"/>
              <w:bottom w:val="single" w:color="15384F" w:sz="6"/>
              <w:right w:val="none" w:color="FFFFFF" w:sz="0"/>
            </w:tcBorders>
            <w:shd w:fill="15384F" w:val="clear"/>
            <w:tcMar>
              <w:top w:type="dxa" w:w="60"/>
              <w:left w:type="dxa" w:w="100"/>
              <w:bottom w:type="dxa" w:w="60"/>
              <w:right w:type="dxa" w:w="100"/>
            </w:tcMar>
          </w:tcPr>
          <w:p>
            <w:r>
              <w:rPr>
                <w:b/>
                <w:bCs/>
                <w:color w:val="FFFFFF"/>
                <w:sz w:val="20"/>
                <w:szCs w:val="20"/>
              </w:rPr>
              <w:t xml:space="preserve">Unit</w:t>
            </w:r>
          </w:p>
        </w:tc>
      </w:tr>
      <w:tr>
        <w:tc>
          <w:tcPr>
            <w:tcBorders>
              <w:top w:val="none" w:color="FFFFFF" w:sz="0"/>
              <w:left w:val="none" w:color="FFFFFF" w:sz="0"/>
              <w:bottom w:val="single" w:color="C9D2DA" w:sz="2"/>
              <w:right w:val="none" w:color="FFFFFF" w:sz="0"/>
            </w:tcBorders>
            <w:shd w:fill="EEF3F7" w:val="clear"/>
            <w:tcMar>
              <w:top w:type="dxa" w:w="50"/>
              <w:left w:type="dxa" w:w="100"/>
              <w:bottom w:type="dxa" w:w="50"/>
              <w:right w:type="dxa" w:w="100"/>
            </w:tcMar>
          </w:tcPr>
          <w:p>
            <w:r>
              <w:rPr>
                <w:sz w:val="20"/>
                <w:szCs w:val="20"/>
              </w:rPr>
              <w:t xml:space="preserve">Sample size</w:t>
            </w:r>
          </w:p>
        </w:tc>
        <w:tc>
          <w:tcPr>
            <w:tcBorders>
              <w:top w:val="none" w:color="FFFFFF" w:sz="0"/>
              <w:left w:val="none" w:color="FFFFFF" w:sz="0"/>
              <w:bottom w:val="single" w:color="C9D2DA" w:sz="2"/>
              <w:right w:val="none" w:color="FFFFFF" w:sz="0"/>
            </w:tcBorders>
            <w:shd w:fill="EEF3F7" w:val="clear"/>
            <w:tcMar>
              <w:top w:type="dxa" w:w="50"/>
              <w:left w:type="dxa" w:w="100"/>
              <w:bottom w:type="dxa" w:w="50"/>
              <w:right w:type="dxa" w:w="100"/>
            </w:tcMar>
          </w:tcPr>
          <w:p>
            <w:r>
              <w:rPr>
                <w:sz w:val="20"/>
                <w:szCs w:val="20"/>
              </w:rPr>
              <w:t xml:space="preserve">240</w:t>
            </w:r>
          </w:p>
        </w:tc>
        <w:tc>
          <w:tcPr>
            <w:tcBorders>
              <w:top w:val="none" w:color="FFFFFF" w:sz="0"/>
              <w:left w:val="none" w:color="FFFFFF" w:sz="0"/>
              <w:bottom w:val="single" w:color="C9D2DA" w:sz="2"/>
              <w:right w:val="none" w:color="FFFFFF" w:sz="0"/>
            </w:tcBorders>
            <w:shd w:fill="EEF3F7" w:val="clear"/>
            <w:tcMar>
              <w:top w:type="dxa" w:w="50"/>
              <w:left w:type="dxa" w:w="100"/>
              <w:bottom w:type="dxa" w:w="50"/>
              <w:right w:type="dxa" w:w="100"/>
            </w:tcMar>
          </w:tcPr>
          <w:p>
            <w:r>
              <w:rPr>
                <w:sz w:val="20"/>
                <w:szCs w:val="20"/>
              </w:rPr>
              <w:t xml:space="preserve">participants</w:t>
            </w:r>
          </w:p>
        </w:tc>
      </w:tr>
      <w:tr>
        <w:tc>
          <w:tcPr>
            <w:tcBorders>
              <w:top w:val="none" w:color="FFFFFF" w:sz="0"/>
              <w:left w:val="none" w:color="FFFFFF" w:sz="0"/>
              <w:bottom w:val="single" w:color="C9D2DA" w:sz="2"/>
              <w:right w:val="none" w:color="FFFFFF" w:sz="0"/>
            </w:tcBorders>
            <w:shd w:fill="FFFFFF" w:val="clear"/>
            <w:tcMar>
              <w:top w:type="dxa" w:w="50"/>
              <w:left w:type="dxa" w:w="100"/>
              <w:bottom w:type="dxa" w:w="50"/>
              <w:right w:type="dxa" w:w="100"/>
            </w:tcMar>
          </w:tcPr>
          <w:p>
            <w:r>
              <w:rPr>
                <w:sz w:val="20"/>
                <w:szCs w:val="20"/>
              </w:rPr>
              <w:t xml:space="preserve">Learning rate</w:t>
            </w:r>
          </w:p>
        </w:tc>
        <w:tc>
          <w:tcPr>
            <w:tcBorders>
              <w:top w:val="none" w:color="FFFFFF" w:sz="0"/>
              <w:left w:val="none" w:color="FFFFFF" w:sz="0"/>
              <w:bottom w:val="single" w:color="C9D2DA" w:sz="2"/>
              <w:right w:val="none" w:color="FFFFFF" w:sz="0"/>
            </w:tcBorders>
            <w:shd w:fill="FFFFFF" w:val="clear"/>
            <w:tcMar>
              <w:top w:type="dxa" w:w="50"/>
              <w:left w:type="dxa" w:w="100"/>
              <w:bottom w:type="dxa" w:w="50"/>
              <w:right w:type="dxa" w:w="100"/>
            </w:tcMar>
          </w:tcPr>
          <w:p>
            <w:r>
              <w:rPr>
                <w:sz w:val="20"/>
                <w:szCs w:val="20"/>
              </w:rPr>
              <w:t xml:space="preserve">0.001</w:t>
            </w:r>
          </w:p>
        </w:tc>
        <w:tc>
          <w:tcPr>
            <w:tcBorders>
              <w:top w:val="none" w:color="FFFFFF" w:sz="0"/>
              <w:left w:val="none" w:color="FFFFFF" w:sz="0"/>
              <w:bottom w:val="single" w:color="C9D2DA" w:sz="2"/>
              <w:right w:val="none" w:color="FFFFFF" w:sz="0"/>
            </w:tcBorders>
            <w:shd w:fill="FFFFFF" w:val="clear"/>
            <w:tcMar>
              <w:top w:type="dxa" w:w="50"/>
              <w:left w:type="dxa" w:w="100"/>
              <w:bottom w:type="dxa" w:w="50"/>
              <w:right w:type="dxa" w:w="100"/>
            </w:tcMar>
          </w:tcPr>
          <w:p>
            <w:r>
              <w:rPr>
                <w:sz w:val="20"/>
                <w:szCs w:val="20"/>
              </w:rPr>
              <w:t xml:space="preserve">—</w:t>
            </w:r>
          </w:p>
        </w:tc>
      </w:tr>
      <w:tr>
        <w:tc>
          <w:tcPr>
            <w:tcBorders>
              <w:top w:val="none" w:color="FFFFFF" w:sz="0"/>
              <w:left w:val="none" w:color="FFFFFF" w:sz="0"/>
              <w:bottom w:val="single" w:color="C9D2DA" w:sz="2"/>
              <w:right w:val="none" w:color="FFFFFF" w:sz="0"/>
            </w:tcBorders>
            <w:shd w:fill="EEF3F7" w:val="clear"/>
            <w:tcMar>
              <w:top w:type="dxa" w:w="50"/>
              <w:left w:type="dxa" w:w="100"/>
              <w:bottom w:type="dxa" w:w="50"/>
              <w:right w:type="dxa" w:w="100"/>
            </w:tcMar>
          </w:tcPr>
          <w:p>
            <w:r>
              <w:rPr>
                <w:sz w:val="20"/>
                <w:szCs w:val="20"/>
              </w:rPr>
              <w:t xml:space="preserve">Epochs</w:t>
            </w:r>
          </w:p>
        </w:tc>
        <w:tc>
          <w:tcPr>
            <w:tcBorders>
              <w:top w:val="none" w:color="FFFFFF" w:sz="0"/>
              <w:left w:val="none" w:color="FFFFFF" w:sz="0"/>
              <w:bottom w:val="single" w:color="C9D2DA" w:sz="2"/>
              <w:right w:val="none" w:color="FFFFFF" w:sz="0"/>
            </w:tcBorders>
            <w:shd w:fill="EEF3F7" w:val="clear"/>
            <w:tcMar>
              <w:top w:type="dxa" w:w="50"/>
              <w:left w:type="dxa" w:w="100"/>
              <w:bottom w:type="dxa" w:w="50"/>
              <w:right w:type="dxa" w:w="100"/>
            </w:tcMar>
          </w:tcPr>
          <w:p>
            <w:r>
              <w:rPr>
                <w:sz w:val="20"/>
                <w:szCs w:val="20"/>
              </w:rPr>
              <w:t xml:space="preserve">50</w:t>
            </w:r>
          </w:p>
        </w:tc>
        <w:tc>
          <w:tcPr>
            <w:tcBorders>
              <w:top w:val="none" w:color="FFFFFF" w:sz="0"/>
              <w:left w:val="none" w:color="FFFFFF" w:sz="0"/>
              <w:bottom w:val="single" w:color="C9D2DA" w:sz="2"/>
              <w:right w:val="none" w:color="FFFFFF" w:sz="0"/>
            </w:tcBorders>
            <w:shd w:fill="EEF3F7" w:val="clear"/>
            <w:tcMar>
              <w:top w:type="dxa" w:w="50"/>
              <w:left w:type="dxa" w:w="100"/>
              <w:bottom w:type="dxa" w:w="50"/>
              <w:right w:type="dxa" w:w="100"/>
            </w:tcMar>
          </w:tcPr>
          <w:p>
            <w:r>
              <w:rPr>
                <w:sz w:val="20"/>
                <w:szCs w:val="20"/>
              </w:rPr>
              <w:t xml:space="preserve">iterations</w:t>
            </w:r>
          </w:p>
        </w:tc>
      </w:tr>
    </w:tbl>
    <w:p>
      <w:pPr>
        <w:pStyle w:val="IOROBody"/>
      </w:pPr>
      <w:r>
        <w:t xml:space="preserve">Equations are created with the Microsoft Equation Editor and centred, with a right-aligned equation number in parentheses, as shown in Eq. (1).</w:t>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8568"/>
        <w:gridCol w:w="1070"/>
      </w:tblGrid>
      <w:tr>
        <w:tc>
          <w:tcPr>
            <w:tcW w:type="dxa" w:w="8568"/>
            <w:tcBorders>
              <w:top w:val="none" w:color="FFFFFF" w:sz="0"/>
              <w:left w:val="none" w:color="FFFFFF" w:sz="0"/>
              <w:bottom w:val="none" w:color="FFFFFF" w:sz="0"/>
              <w:right w:val="none" w:color="FFFFFF" w:sz="0"/>
            </w:tcBorders>
            <w:tcMar>
              <w:top w:type="dxa" w:w="40"/>
              <w:left w:type="dxa" w:w="60"/>
              <w:bottom w:type="dxa" w:w="40"/>
              <w:right w:type="dxa" w:w="60"/>
            </w:tcMar>
            <w:vAlign w:val="center"/>
          </w:tcPr>
          <w:p>
            <w:pPr>
              <w:pStyle w:val="IOROEq"/>
            </w:pPr>
            <m:oMath>
              <m:r>
                <m:t>σ(x) = </m:t>
              </m:r>
              <m:f>
                <m:num>
                  <m:r>
                    <m:t>1</m:t>
                  </m:r>
                </m:num>
                <m:den>
                  <m:r>
                    <m:t>1 + </m:t>
                  </m:r>
                  <m:sSup>
                    <m:sSupPr/>
                    <m:e>
                      <m:r>
                        <m:t>e</m:t>
                      </m:r>
                    </m:e>
                    <m:sup>
                      <m:r>
                        <m:t>−x</m:t>
                      </m:r>
                    </m:sup>
                  </m:sSup>
                </m:den>
              </m:f>
            </m:oMath>
          </w:p>
        </w:tc>
        <w:tc>
          <w:tcPr>
            <w:tcW w:type="dxa" w:w="1070"/>
            <w:tcBorders>
              <w:top w:val="none" w:color="FFFFFF" w:sz="0"/>
              <w:left w:val="none" w:color="FFFFFF" w:sz="0"/>
              <w:bottom w:val="none" w:color="FFFFFF" w:sz="0"/>
              <w:right w:val="none" w:color="FFFFFF" w:sz="0"/>
            </w:tcBorders>
            <w:tcMar>
              <w:top w:type="dxa" w:w="40"/>
              <w:left w:type="dxa" w:w="60"/>
              <w:bottom w:type="dxa" w:w="40"/>
              <w:right w:type="dxa" w:w="60"/>
            </w:tcMar>
            <w:vAlign w:val="center"/>
          </w:tcPr>
          <w:p>
            <w:pPr>
              <w:pStyle w:val="IOROBody"/>
              <w:spacing w:after="0"/>
              <w:jc w:val="right"/>
            </w:pPr>
            <w:r>
              <w:t xml:space="preserve">(1)</w:t>
            </w:r>
          </w:p>
        </w:tc>
      </w:tr>
    </w:tbl>
    <w:p>
      <w:pPr>
        <w:pStyle w:val="IOROHeading1"/>
        <w:numPr>
          <w:ilvl w:val="0"/>
          <w:numId w:val="2"/>
        </w:numPr>
      </w:pPr>
      <w:r>
        <w:t xml:space="preserve">Results</w:t>
      </w:r>
    </w:p>
    <w:p>
      <w:pPr>
        <w:pStyle w:val="IOROBody"/>
      </w:pPr>
      <w:r>
        <w:t xml:space="preserve">Results are reported objectively, without interpretation, using figures and tables to present data concisely. Each figure is embedded immediately after its first citation in the text, and the caption is placed below the figure, as in Fig. 1.</w:t>
      </w:r>
    </w:p>
    <w:p>
      <w:pPr>
        <w:spacing w:after="0" w:before="80"/>
        <w:jc w:val="center"/>
      </w:pPr>
      <w:r>
        <w:drawing>
          <wp:inline distT="0" distB="0" distL="0" distR="0">
            <wp:extent cx="3429000" cy="1905000"/>
            <wp:effectExtent t="0" r="0" b="0" l="0"/>
            <wp:docPr id="1" name="Sample bar chart figure" descr="Sample bar chart figure" title="Sample bar chart 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 cstate="none"/>
                    <a:srcRect/>
                    <a:stretch>
                      <a:fillRect/>
                    </a:stretch>
                  </pic:blipFill>
                  <pic:spPr bwMode="auto">
                    <a:xfrm>
                      <a:off x="0" y="0"/>
                      <a:ext cx="3429000" cy="1905000"/>
                    </a:xfrm>
                    <a:prstGeom prst="rect">
                      <a:avLst/>
                    </a:prstGeom>
                  </pic:spPr>
                </pic:pic>
              </a:graphicData>
            </a:graphic>
          </wp:inline>
        </w:drawing>
      </w:r>
    </w:p>
    <w:p>
      <w:pPr>
        <w:pStyle w:val="IOROFigCap"/>
      </w:pPr>
      <w:r>
        <w:rPr>
          <w:b/>
          <w:bCs/>
        </w:rPr>
        <w:t xml:space="preserve">Fig. 1. </w:t>
      </w:r>
      <w:r>
        <w:t xml:space="preserve">Comparative accuracy of baseline methods against the proposed approach. Captions are placed below the figure and use the IORO Figure Caption style.</w:t>
      </w:r>
    </w:p>
    <w:p>
      <w:pPr>
        <w:pStyle w:val="IOROHeading1"/>
        <w:numPr>
          <w:ilvl w:val="0"/>
          <w:numId w:val="2"/>
        </w:numPr>
      </w:pPr>
      <w:r>
        <w:t xml:space="preserve">Discussion</w:t>
      </w:r>
    </w:p>
    <w:p>
      <w:pPr>
        <w:pStyle w:val="IOROBody"/>
      </w:pPr>
      <w:r>
        <w:t xml:space="preserve">The discussion interprets the results in light of the research questions and prior literature, addresses limitations honestly, and avoids overstating causal claims beyond what the design supports.</w:t>
      </w:r>
    </w:p>
    <w:p>
      <w:pPr>
        <w:pStyle w:val="IOROHeading1"/>
        <w:numPr>
          <w:ilvl w:val="0"/>
          <w:numId w:val="2"/>
        </w:numPr>
      </w:pPr>
      <w:r>
        <w:t xml:space="preserve">Conclusion</w:t>
      </w:r>
    </w:p>
    <w:p>
      <w:pPr>
        <w:pStyle w:val="IOROBody"/>
      </w:pPr>
      <w:r>
        <w:t xml:space="preserve">The conclusion restates the principal contribution, summarises the key findings without repeating the results verbatim, and points to concrete directions for future work.</w:t>
      </w:r>
    </w:p>
    <w:p>
      <w:pPr>
        <w:pStyle w:val="IOROBackHead"/>
      </w:pPr>
      <w:r>
        <w:t xml:space="preserve">Acknowledgements</w:t>
      </w:r>
    </w:p>
    <w:p>
      <w:pPr>
        <w:pStyle w:val="IOROBody"/>
      </w:pPr>
      <w:r>
        <w:t xml:space="preserve">Optional. Acknowledge non-author contributors, facilities, or administrative support here.</w:t>
      </w:r>
    </w:p>
    <w:p>
      <w:pPr>
        <w:pStyle w:val="IOROBackHead"/>
      </w:pPr>
      <w:r>
        <w:t xml:space="preserve">Funding</w:t>
      </w:r>
    </w:p>
    <w:p>
      <w:pPr>
        <w:pStyle w:val="IOROBody"/>
      </w:pPr>
      <w:r>
        <w:t xml:space="preserve">State all sources of funding with grant numbers, or declare: “This research received no external funding.”</w:t>
      </w:r>
    </w:p>
    <w:p>
      <w:pPr>
        <w:pStyle w:val="IOROBackHead"/>
      </w:pPr>
      <w:r>
        <w:t xml:space="preserve">Conflict of Interest</w:t>
      </w:r>
    </w:p>
    <w:p>
      <w:pPr>
        <w:pStyle w:val="IOROBody"/>
      </w:pPr>
      <w:r>
        <w:t xml:space="preserve">Declare any financial or non-financial competing interests, or state: “The authors declare no conflict of interest.”</w:t>
      </w:r>
    </w:p>
    <w:p>
      <w:pPr>
        <w:pStyle w:val="IOROBackHead"/>
      </w:pPr>
      <w:r>
        <w:t xml:space="preserve">Data Availability Statement</w:t>
      </w:r>
    </w:p>
    <w:p>
      <w:pPr>
        <w:pStyle w:val="IOROBody"/>
      </w:pPr>
      <w:r>
        <w:t xml:space="preserve">State where the data supporting the findings are available, including repository name and accession/DOI, or explain any access restrictions.</w:t>
      </w:r>
    </w:p>
    <w:p>
      <w:pPr>
        <w:pStyle w:val="IOROBackHead"/>
      </w:pPr>
      <w:r>
        <w:t xml:space="preserve">AI Usage Disclosure</w:t>
      </w:r>
    </w:p>
    <w:p>
      <w:pPr>
        <w:pStyle w:val="IOROBody"/>
      </w:pPr>
      <w:r>
        <w:t xml:space="preserve">Disclose any use of generative AI or AI-assisted tools in the preparation of the manuscript, including the tool, version, and purpose. AI tools must not be listed as authors. Example: “The authors used [tool/version] for language editing; all content was reviewed and verified by the authors.” If none was used, state: “No generative AI tools were used.”</w:t>
      </w:r>
    </w:p>
    <w:p>
      <w:pPr>
        <w:pStyle w:val="IOROBackHead"/>
      </w:pPr>
      <w:r>
        <w:t xml:space="preserve">Author Contributions</w:t>
      </w:r>
    </w:p>
    <w:p>
      <w:pPr>
        <w:pStyle w:val="IOROBody"/>
      </w:pPr>
      <w:r>
        <w:t xml:space="preserve">Use CRediT roles, e.g.: Conceptualization, A.A. and B.B.; methodology, A.A.; analysis, C.C.; writing—original draft, A.A.; writing—review and editing, all authors. All authors have read and agreed to the published version of the manuscript.</w:t>
      </w:r>
    </w:p>
    <w:p>
      <w:pPr>
        <w:pStyle w:val="IOROBackHead"/>
        <w:spacing w:after="80" w:before="200"/>
      </w:pPr>
      <w:r>
        <w:t xml:space="preserve">References</w:t>
      </w:r>
    </w:p>
    <w:p>
      <w:pPr>
        <w:pStyle w:val="IORORef"/>
        <w:numPr>
          <w:ilvl w:val="0"/>
          <w:numId w:val="5"/>
        </w:numPr>
      </w:pPr>
      <w:r>
        <w:t xml:space="preserve">A. B. Author and C. D. Author, “Title of the journal paper,” Journal Name, vol. 12, no. 3, pp. 45–60, 2024, doi: 10.0000/xxxx.</w:t>
      </w:r>
    </w:p>
    <w:p>
      <w:pPr>
        <w:pStyle w:val="IORORef"/>
        <w:numPr>
          <w:ilvl w:val="0"/>
          <w:numId w:val="5"/>
        </w:numPr>
      </w:pPr>
      <w:r>
        <w:t xml:space="preserve">E. F. Author, Title of the Book, 2nd ed. City, Country: Publisher, 2023.</w:t>
      </w:r>
    </w:p>
    <w:p>
      <w:pPr>
        <w:pStyle w:val="IORORef"/>
        <w:numPr>
          <w:ilvl w:val="0"/>
          <w:numId w:val="5"/>
        </w:numPr>
      </w:pPr>
      <w:r>
        <w:t xml:space="preserve">G. H. Author, “Title of the conference paper,” in Proc. Int. Conf. on Topic, City, Country, 2023, pp. 112–119.</w:t>
      </w:r>
    </w:p>
    <w:p>
      <w:pPr>
        <w:pStyle w:val="IORORef"/>
        <w:numPr>
          <w:ilvl w:val="0"/>
          <w:numId w:val="5"/>
        </w:numPr>
      </w:pPr>
      <w:r>
        <w:t xml:space="preserve">I. J. Author et al., “Title of the article,” Journal Name, vol. 8, no. 1, pp. 1–15, 2022.</w:t>
      </w:r>
    </w:p>
    <w:p>
      <w:pPr>
        <w:pStyle w:val="IORORef"/>
        <w:numPr>
          <w:ilvl w:val="0"/>
          <w:numId w:val="5"/>
        </w:numPr>
      </w:pPr>
      <w:r>
        <w:t xml:space="preserve">Organisation, Title of the Report, City, Country: Publisher, 2021. [Online]. Available: https://example.org/report</w:t>
      </w:r>
    </w:p>
    <w:p>
      <w:pPr>
        <w:pStyle w:val="IOROBackHead"/>
        <w:spacing w:before="200"/>
      </w:pPr>
      <w:r>
        <w:t xml:space="preserve">Appendix A. Supplementary Material</w:t>
      </w:r>
    </w:p>
    <w:p>
      <w:pPr>
        <w:pStyle w:val="IOROBody"/>
      </w:pPr>
      <w:r>
        <w:t xml:space="preserve">Optional. Place supporting derivations, extended tables, or questionnaire instruments here. Appendix items are labelled A.1, A.2, etc.</w:t>
      </w:r>
    </w:p>
    <w:p>
      <w:pPr>
        <w:pBdr>
          <w:top w:val="single" w:color="C9D2DA" w:sz="4" w:space="6"/>
        </w:pBdr>
        <w:spacing w:before="200"/>
      </w:pPr>
      <w:r>
        <w:rPr>
          <w:i/>
          <w:iCs/>
          <w:color w:val="6A6A6A"/>
          <w:sz w:val="16"/>
          <w:szCs w:val="16"/>
        </w:rPr>
        <w:t xml:space="preserve">© 2026 The Author(s). Published by IORO Publications under a Creative Commons Attribution 4.0 International (CC BY 4.0) licence.</w:t>
      </w:r>
    </w:p>
    <w:sectPr>
      <w:headerReference w:type="default" r:id="rId7"/>
      <w:headerReference w:type="first" r:id="rId8"/>
      <w:footerReference w:type="default" r:id="rId9"/>
      <w:footerReference w:type="first" r:id="rId10"/>
      <w:pgSz w:w="11906" w:h="16838" w:orient="portrait"/>
      <w:pgMar w:top="1418" w:right="1134" w:bottom="1418" w:left="1134" w:header="624" w:footer="567" w:gutter="0"/>
      <w:pgNumType/>
      <w:titlePg/>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IOROHeaderFooter"/>
      <w:pBdr>
        <w:top w:val="single" w:color="C9D2DA" w:sz="4" w:space="4"/>
      </w:pBdr>
      <w:tabs>
        <w:tab w:val="right" w:pos="9638"/>
      </w:tabs>
    </w:pPr>
    <w:r>
      <w:t xml:space="preserve">https://doi.org/10.64823/{journalSlug}.{doiValue}</w:t>
    </w:r>
    <w:r>
      <w:t xml:space="preserve">	Page </w:t>
      <w:fldChar w:fldCharType="begin"/>
      <w:instrText xml:space="preserve">PAGE</w:instrText>
      <w:fldChar w:fldCharType="separate"/>
      <w:fldChar w:fldCharType="end"/>
      <w:t xml:space="preserve"> of </w:t>
      <w:fldChar w:fldCharType="begin"/>
      <w:instrText xml:space="preserve">NUMPAGES</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IOROHeaderFooter"/>
      <w:pBdr>
        <w:top w:val="single" w:color="C9D2DA" w:sz="4" w:space="4"/>
      </w:pBdr>
      <w:tabs>
        <w:tab w:val="right" w:pos="9638"/>
      </w:tabs>
    </w:pPr>
    <w:r>
      <w:t xml:space="preserve">https://doi.org/10.64823/{journalSlug}.{doiValue}</w:t>
    </w:r>
    <w:r>
      <w:t xml:space="preserve">	Page </w:t>
      <w:fldChar w:fldCharType="begin"/>
      <w:instrText xml:space="preserve">PAGE</w:instrText>
      <w:fldChar w:fldCharType="separate"/>
      <w:fldChar w:fldCharType="end"/>
      <w:t xml:space="preserve"> of </w:t>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 w:id="1">
    <w:p>
      <w:r>
        <w:rPr>
          <w:rStyle w:val="FootnoteReference"/>
        </w:rPr>
        <w:footnoteRef/>
      </w:r>
      <w:r>
        <w:t xml:space="preserve">Footnotes appear at the foot of the page and are numbered automatically. Use them sparingly for clarifications that would interrupt the main text.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Style w:val="IOROHeaderFooter"/>
      <w:pBdr>
        <w:bottom w:val="single" w:color="C9D2DA" w:sz="4" w:space="4"/>
      </w:pBdr>
      <w:tabs>
        <w:tab w:val="right" w:pos="9638"/>
      </w:tabs>
    </w:pPr>
    <w:r>
      <w:t xml:space="preserve">[Abbrev. Journal] [Year], [Vol], [Art./Page No.]</w:t>
    </w:r>
    <w:r>
      <w:t xml:space="preserve">	[First Author] et al.</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1100"/>
      <w:gridCol w:w="5738"/>
      <w:gridCol w:w="2800"/>
    </w:tblGrid>
    <w:tr>
      <w:tc>
        <w:tcPr>
          <w:tcW w:type="dxa" w:w="1100"/>
          <w:tcBorders>
            <w:top w:val="none" w:color="FFFFFF" w:sz="0"/>
            <w:left w:val="none" w:color="FFFFFF" w:sz="0"/>
            <w:bottom w:val="none" w:color="FFFFFF" w:sz="0"/>
            <w:right w:val="none" w:color="FFFFFF" w:sz="0"/>
          </w:tcBorders>
          <w:tcMar>
            <w:top w:type="dxa" w:w="40"/>
            <w:left w:type="dxa" w:w="60"/>
            <w:bottom w:type="dxa" w:w="40"/>
            <w:right w:type="dxa" w:w="60"/>
          </w:tcMar>
          <w:vAlign w:val="center"/>
        </w:tcPr>
        <w:p>
          <w:pPr>
            <w:spacing w:after="0"/>
            <w:jc w:val="left"/>
          </w:pPr>
          <w:r>
            <w:drawing>
              <wp:inline distT="0" distB="0" distL="0" distR="0">
                <wp:extent cx="914400" cy="371475"/>
                <wp:effectExtent t="0" r="0" b="0" l="0"/>
                <wp:docPr id="1" name="Journal logo placeholder" descr="Journal logo placeholder" title="Journal logo placehol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914400" cy="371475"/>
                        </a:xfrm>
                        <a:prstGeom prst="rect">
                          <a:avLst/>
                        </a:prstGeom>
                      </pic:spPr>
                    </pic:pic>
                  </a:graphicData>
                </a:graphic>
              </wp:inline>
            </w:drawing>
          </w:r>
        </w:p>
      </w:tc>
      <w:tc>
        <w:tcPr>
          <w:tcW w:type="dxa" w:w="5738"/>
          <w:tcBorders>
            <w:top w:val="none" w:color="FFFFFF" w:sz="0"/>
            <w:left w:val="none" w:color="FFFFFF" w:sz="0"/>
            <w:bottom w:val="none" w:color="FFFFFF" w:sz="0"/>
            <w:right w:val="none" w:color="FFFFFF" w:sz="0"/>
          </w:tcBorders>
          <w:tcMar>
            <w:top w:type="dxa" w:w="40"/>
            <w:left w:type="dxa" w:w="60"/>
            <w:bottom w:type="dxa" w:w="40"/>
            <w:right w:type="dxa" w:w="60"/>
          </w:tcMar>
          <w:vAlign w:val="center"/>
        </w:tcPr>
        <w:p>
          <w:pPr>
            <w:spacing w:after="0" w:line="240"/>
          </w:pPr>
          <w:r>
            <w:rPr>
              <w:color w:val="2E2E2E"/>
              <w:sz w:val="19"/>
              <w:szCs w:val="19"/>
            </w:rPr>
            <w:t xml:space="preserve">International Journal of</w:t>
          </w:r>
        </w:p>
        <w:p>
          <w:pPr>
            <w:spacing w:after="0" w:line="260"/>
          </w:pPr>
          <w:r>
            <w:rPr>
              <w:b/>
              <w:bCs/>
              <w:color w:val="15384F"/>
              <w:sz w:val="26"/>
              <w:szCs w:val="26"/>
            </w:rPr>
            <w:t xml:space="preserve">[ Journal Name ]</w:t>
          </w:r>
        </w:p>
        <w:p>
          <w:pPr>
            <w:spacing w:after="0" w:line="220"/>
          </w:pPr>
          <w:r>
            <w:rPr>
              <w:color w:val="4A4A4A"/>
              <w:sz w:val="17"/>
              <w:szCs w:val="17"/>
            </w:rPr>
            <w:t xml:space="preserve">p-ISSN XXXX-XXXX · e-ISSN XXXX-XXXX  |  ioro.org/[journal]</w:t>
          </w:r>
        </w:p>
      </w:tc>
      <w:tc>
        <w:tcPr>
          <w:tcW w:type="dxa" w:w="2800"/>
          <w:tcBorders>
            <w:top w:val="none" w:color="FFFFFF" w:sz="0"/>
            <w:left w:val="none" w:color="FFFFFF" w:sz="0"/>
            <w:bottom w:val="none" w:color="FFFFFF" w:sz="0"/>
            <w:right w:val="none" w:color="FFFFFF" w:sz="0"/>
          </w:tcBorders>
          <w:tcMar>
            <w:top w:type="dxa" w:w="40"/>
            <w:left w:type="dxa" w:w="60"/>
            <w:bottom w:type="dxa" w:w="40"/>
            <w:right w:type="dxa" w:w="0"/>
          </w:tcMar>
          <w:vAlign w:val="center"/>
        </w:tcPr>
        <w:p>
          <w:pPr>
            <w:spacing w:after="0"/>
            <w:jc w:val="right"/>
          </w:pPr>
          <w:r>
            <w:drawing>
              <wp:inline distT="0" distB="0" distL="0" distR="0">
                <wp:extent cx="1504950" cy="428625"/>
                <wp:effectExtent t="0" r="0" b="0" l="0"/>
                <wp:docPr id="1" name="IORO Publications logo" descr="IORO Publications logo" title="IORO Publicati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a:off x="0" y="0"/>
                          <a:ext cx="1504950" cy="428625"/>
                        </a:xfrm>
                        <a:prstGeom prst="rect">
                          <a:avLst/>
                        </a:prstGeom>
                      </pic:spPr>
                    </pic:pic>
                  </a:graphicData>
                </a:graphic>
              </wp:inline>
            </w:drawing>
          </w:r>
        </w:p>
      </w:tc>
    </w:tr>
  </w:tbl>
  <w:p>
    <w:pPr>
      <w:pStyle w:val="IOROHeaderFooter"/>
      <w:pBdr>
        <w:bottom w:val="single" w:color="15384F" w:sz="10" w:space="4"/>
      </w:pBdr>
      <w:tabs>
        <w:tab w:val="right" w:pos="9638"/>
      </w:tabs>
      <w:spacing w:before="40"/>
    </w:pPr>
    <w:r>
      <w:t xml:space="preserv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decimal"/>
      <w:lvlText w:val="%1"/>
      <w:lvlJc w:val="left"/>
      <w:pPr>
        <w:ind w:left="432" w:hanging="432"/>
      </w:pPr>
    </w:lvl>
    <w:lvl w:ilvl="1" w15:tentative="1">
      <w:start w:val="1"/>
      <w:numFmt w:val="decimal"/>
      <w:lvlText w:val="%1.%2"/>
      <w:lvlJc w:val="left"/>
      <w:pPr>
        <w:ind w:left="576" w:hanging="576"/>
      </w:pPr>
    </w:lvl>
    <w:lvl w:ilvl="2" w15:tentative="1">
      <w:start w:val="1"/>
      <w:numFmt w:val="decimal"/>
      <w:lvlText w:val="%1.%2.%3"/>
      <w:lvlJc w:val="left"/>
      <w:pPr>
        <w:ind w:left="720" w:hanging="720"/>
      </w:pPr>
    </w:lvl>
  </w:abstractNum>
  <w:abstractNum w:abstractNumId="3" w15:restartNumberingAfterBreak="0">
    <w:multiLevelType w:val="hybridMultilevel"/>
    <w:lvl w:ilvl="0" w15:tentative="1">
      <w:start w:val="1"/>
      <w:numFmt w:val="decimal"/>
      <w:lvlText w:val="[%1]"/>
      <w:lvlJc w:val="left"/>
      <w:pPr>
        <w:ind w:left="560" w:hanging="560"/>
      </w:pPr>
    </w:lvl>
  </w:abstractNum>
  <w:abstractNum w:abstractNumId="4" w15:restartNumberingAfterBreak="0">
    <w:multiLevelType w:val="hybridMultilevel"/>
    <w:lvl w:ilvl="0" w15:tentative="1">
      <w:start w:val="1"/>
      <w:numFmt w:val="bullet"/>
      <w:lvlText w:val="•"/>
      <w:lvlJc w:val="left"/>
      <w:pPr>
        <w:ind w:left="540" w:hanging="360"/>
      </w:pPr>
    </w:lvl>
    <w:lvl w:ilvl="1" w15:tentative="1">
      <w:start w:val="1"/>
      <w:numFmt w:val="bullet"/>
      <w:lvlText w:val="–"/>
      <w:lvlJc w:val="left"/>
      <w:pPr>
        <w:ind w:left="900" w:hanging="360"/>
      </w:pPr>
    </w:lvl>
    <w:lvl w:ilvl="2" w15:tentative="1">
      <w:start w:val="1"/>
      <w:numFmt w:val="bullet"/>
      <w:lvlText w:val="◦"/>
      <w:lvlJc w:val="left"/>
      <w:pPr>
        <w:ind w:left="1260" w:hanging="360"/>
      </w:pPr>
    </w:lvl>
  </w:abstractNum>
  <w:abstractNum w:abstractNumId="5" w15:restartNumberingAfterBreak="0">
    <w:multiLevelType w:val="hybridMultilevel"/>
    <w:lvl w:ilvl="0" w15:tentative="1">
      <w:start w:val="1"/>
      <w:numFmt w:val="decimal"/>
      <w:lvlText w:val="%1."/>
      <w:lvlJc w:val="left"/>
      <w:pPr>
        <w:ind w:left="540" w:hanging="360"/>
      </w:pPr>
    </w:lvl>
    <w:lvl w:ilvl="1" w15:tentative="1">
      <w:start w:val="1"/>
      <w:numFmt w:val="lowerLetter"/>
      <w:lvlText w:val="%2."/>
      <w:lvlJc w:val="left"/>
      <w:pPr>
        <w:ind w:left="900" w:hanging="360"/>
      </w:pPr>
    </w:lvl>
    <w:lvl w:ilvl="2" w15:tentative="1">
      <w:start w:val="1"/>
      <w:numFmt w:val="lowerRoman"/>
      <w:lvlText w:val="%3."/>
      <w:lvlJc w:val="right"/>
      <w:pPr>
        <w:ind w:left="1260" w:hanging="360"/>
      </w:pPr>
    </w:lvl>
  </w:abstractNum>
  <w:num w:numId="1">
    <w:abstractNumId w:val="1"/>
    <w:lvlOverride w:ilvl="0">
      <w:startOverride w:val="1"/>
    </w:lvlOverride>
  </w:num>
  <w:num w:numId="2">
    <w:abstractNumId w:val="2"/>
    <w:lvlOverride w:ilvl="0">
      <w:startOverride w:val="1"/>
    </w:lvlOverride>
  </w:num>
  <w:num w:numId="3">
    <w:abstractNumId w:val="4"/>
    <w:lvlOverride w:ilvl="0">
      <w:startOverride w:val="1"/>
    </w:lvlOverride>
  </w:num>
  <w:num w:numId="4">
    <w:abstractNumId w:val="5"/>
    <w:lvlOverride w:ilvl="0">
      <w:startOverride w:val="1"/>
    </w:lvlOverride>
  </w:num>
  <w:num w:numId="5">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pPr>
        <w:spacing w:after="120" w:line="276" w:lineRule="auto"/>
      </w:pPr>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IOROBody">
    <w:name w:val="IORO Body"/>
    <w:basedOn w:val="Normal"/>
    <w:next w:val="IOROBody"/>
    <w:qFormat/>
    <w:pPr>
      <w:spacing w:after="120" w:line="276" w:lineRule="auto"/>
      <w:jc w:val="both"/>
    </w:pPr>
    <w:rPr>
      <w:rFonts w:ascii="Calibri" w:cs="Calibri" w:eastAsia="Calibri" w:hAnsi="Calibri"/>
      <w:sz w:val="22"/>
      <w:szCs w:val="22"/>
    </w:rPr>
  </w:style>
  <w:style w:type="paragraph" w:styleId="IOROQuote">
    <w:name w:val="IORO Block Quote"/>
    <w:basedOn w:val="Normal"/>
    <w:next w:val="IOROBody"/>
    <w:qFormat/>
    <w:pPr>
      <w:pBdr>
        <w:left w:val="single" w:color="C9D9E6" w:sz="18" w:space="10"/>
      </w:pBdr>
      <w:spacing w:after="80" w:before="80" w:line="264" w:lineRule="auto"/>
      <w:ind w:left="560" w:right="360"/>
      <w:jc w:val="both"/>
    </w:pPr>
    <w:rPr>
      <w:rFonts w:ascii="Calibri" w:cs="Calibri" w:eastAsia="Calibri" w:hAnsi="Calibri"/>
      <w:i/>
      <w:iCs/>
      <w:color w:val="3D3D3D"/>
      <w:sz w:val="21"/>
      <w:szCs w:val="21"/>
    </w:rPr>
  </w:style>
  <w:style w:type="paragraph" w:styleId="IOROHeading1">
    <w:name w:val="IORO Heading 1"/>
    <w:basedOn w:val="Normal"/>
    <w:next w:val="IOROBody"/>
    <w:qFormat/>
    <w:pPr>
      <w:keepNext/>
      <w:pBdr>
        <w:bottom w:val="single" w:color="D5DEE5" w:sz="6" w:space="4"/>
      </w:pBdr>
      <w:spacing w:after="120" w:before="240"/>
      <w:outlineLvl w:val="0"/>
    </w:pPr>
    <w:rPr>
      <w:rFonts w:ascii="Calibri" w:cs="Calibri" w:eastAsia="Calibri" w:hAnsi="Calibri"/>
      <w:b/>
      <w:bCs/>
      <w:color w:val="15384F"/>
      <w:sz w:val="26"/>
      <w:szCs w:val="26"/>
    </w:rPr>
  </w:style>
  <w:style w:type="paragraph" w:styleId="IOROHeading2">
    <w:name w:val="IORO Heading 2"/>
    <w:basedOn w:val="Normal"/>
    <w:next w:val="IOROBody"/>
    <w:qFormat/>
    <w:pPr>
      <w:keepNext/>
      <w:spacing w:after="80" w:before="180"/>
      <w:outlineLvl w:val="1"/>
    </w:pPr>
    <w:rPr>
      <w:rFonts w:ascii="Calibri" w:cs="Calibri" w:eastAsia="Calibri" w:hAnsi="Calibri"/>
      <w:b/>
      <w:bCs/>
      <w:color w:val="15384F"/>
      <w:sz w:val="23"/>
      <w:szCs w:val="23"/>
    </w:rPr>
  </w:style>
  <w:style w:type="paragraph" w:styleId="IOROHeading3">
    <w:name w:val="IORO Heading 3"/>
    <w:basedOn w:val="Normal"/>
    <w:next w:val="IOROBody"/>
    <w:qFormat/>
    <w:pPr>
      <w:keepNext/>
      <w:spacing w:after="60" w:before="140"/>
      <w:outlineLvl w:val="2"/>
    </w:pPr>
    <w:rPr>
      <w:rFonts w:ascii="Calibri" w:cs="Calibri" w:eastAsia="Calibri" w:hAnsi="Calibri"/>
      <w:b/>
      <w:bCs/>
      <w:i/>
      <w:iCs/>
      <w:color w:val="15384F"/>
      <w:sz w:val="22"/>
      <w:szCs w:val="22"/>
    </w:rPr>
  </w:style>
  <w:style w:type="paragraph" w:styleId="IOROTitle">
    <w:name w:val="IORO Article Title"/>
    <w:basedOn w:val="Normal"/>
    <w:next w:val="IOROAuthors"/>
    <w:qFormat/>
    <w:pPr>
      <w:spacing w:after="120" w:before="120"/>
      <w:jc w:val="left"/>
    </w:pPr>
    <w:rPr>
      <w:rFonts w:ascii="Calibri" w:cs="Calibri" w:eastAsia="Calibri" w:hAnsi="Calibri"/>
      <w:b/>
      <w:bCs/>
      <w:color w:val="15384F"/>
      <w:sz w:val="40"/>
      <w:szCs w:val="40"/>
    </w:rPr>
  </w:style>
  <w:style w:type="paragraph" w:styleId="IOROAuthors">
    <w:name w:val="IORO Author Names"/>
    <w:basedOn w:val="Normal"/>
    <w:next w:val="IOROAffil"/>
    <w:qFormat/>
    <w:pPr>
      <w:spacing w:after="40"/>
      <w:jc w:val="left"/>
    </w:pPr>
    <w:rPr>
      <w:rFonts w:ascii="Calibri" w:cs="Calibri" w:eastAsia="Calibri" w:hAnsi="Calibri"/>
      <w:b/>
      <w:bCs/>
      <w:color w:val="15384F"/>
      <w:sz w:val="24"/>
      <w:szCs w:val="24"/>
    </w:rPr>
  </w:style>
  <w:style w:type="paragraph" w:styleId="IOROAffil">
    <w:name w:val="IORO Affiliation"/>
    <w:basedOn w:val="Normal"/>
    <w:next w:val="IOROCorr"/>
    <w:qFormat/>
    <w:pPr>
      <w:spacing w:after="30"/>
      <w:jc w:val="left"/>
    </w:pPr>
    <w:rPr>
      <w:rFonts w:ascii="Calibri" w:cs="Calibri" w:eastAsia="Calibri" w:hAnsi="Calibri"/>
      <w:i/>
      <w:iCs/>
      <w:color w:val="3D3D3D"/>
      <w:sz w:val="20"/>
      <w:szCs w:val="20"/>
    </w:rPr>
  </w:style>
  <w:style w:type="paragraph" w:styleId="IOROCorr">
    <w:name w:val="IORO Corresponding"/>
    <w:basedOn w:val="Normal"/>
    <w:next w:val="IOROBody"/>
    <w:qFormat/>
    <w:pPr>
      <w:spacing w:after="120"/>
      <w:jc w:val="left"/>
    </w:pPr>
    <w:rPr>
      <w:rFonts w:ascii="Calibri" w:cs="Calibri" w:eastAsia="Calibri" w:hAnsi="Calibri"/>
      <w:color w:val="3D3D3D"/>
      <w:sz w:val="18"/>
      <w:szCs w:val="18"/>
    </w:rPr>
  </w:style>
  <w:style w:type="paragraph" w:styleId="IOROAbsHead">
    <w:name w:val="IORO Abstract Heading"/>
    <w:basedOn w:val="Normal"/>
    <w:next w:val="IOROAbstract"/>
    <w:qFormat/>
    <w:pPr>
      <w:spacing w:after="60" w:before="120"/>
    </w:pPr>
    <w:rPr>
      <w:rFonts w:ascii="Calibri" w:cs="Calibri" w:eastAsia="Calibri" w:hAnsi="Calibri"/>
      <w:b/>
      <w:bCs/>
      <w:sz w:val="22"/>
      <w:szCs w:val="22"/>
    </w:rPr>
  </w:style>
  <w:style w:type="paragraph" w:styleId="IOROAbstract">
    <w:name w:val="IORO Abstract Body"/>
    <w:basedOn w:val="Normal"/>
    <w:next w:val="IOROKeywords"/>
    <w:qFormat/>
    <w:pPr>
      <w:spacing w:after="80" w:line="264" w:lineRule="auto"/>
      <w:jc w:val="both"/>
    </w:pPr>
    <w:rPr>
      <w:rFonts w:ascii="Calibri" w:cs="Calibri" w:eastAsia="Calibri" w:hAnsi="Calibri"/>
      <w:sz w:val="20"/>
      <w:szCs w:val="20"/>
    </w:rPr>
  </w:style>
  <w:style w:type="paragraph" w:styleId="IOROKeywords">
    <w:name w:val="IORO Keywords"/>
    <w:basedOn w:val="Normal"/>
    <w:next w:val="IOROBody"/>
    <w:qFormat/>
    <w:pPr>
      <w:spacing w:after="60"/>
    </w:pPr>
    <w:rPr>
      <w:rFonts w:ascii="Calibri" w:cs="Calibri" w:eastAsia="Calibri" w:hAnsi="Calibri"/>
      <w:sz w:val="20"/>
      <w:szCs w:val="20"/>
    </w:rPr>
  </w:style>
  <w:style w:type="paragraph" w:styleId="IOROFigCap">
    <w:name w:val="IORO Figure Caption"/>
    <w:basedOn w:val="Normal"/>
    <w:next w:val="IOROBody"/>
    <w:qFormat/>
    <w:pPr>
      <w:spacing w:after="120" w:before="60"/>
      <w:jc w:val="center"/>
    </w:pPr>
    <w:rPr>
      <w:rFonts w:ascii="Calibri" w:cs="Calibri" w:eastAsia="Calibri" w:hAnsi="Calibri"/>
      <w:color w:val="3D3D3D"/>
      <w:sz w:val="18"/>
      <w:szCs w:val="18"/>
    </w:rPr>
  </w:style>
  <w:style w:type="paragraph" w:styleId="IOROTabCap">
    <w:name w:val="IORO Table Caption"/>
    <w:basedOn w:val="Normal"/>
    <w:next w:val="IOROBody"/>
    <w:qFormat/>
    <w:pPr>
      <w:spacing w:after="40" w:before="120"/>
      <w:jc w:val="left"/>
    </w:pPr>
    <w:rPr>
      <w:rFonts w:ascii="Calibri" w:cs="Calibri" w:eastAsia="Calibri" w:hAnsi="Calibri"/>
      <w:b/>
      <w:bCs/>
      <w:color w:val="3D3D3D"/>
      <w:sz w:val="18"/>
      <w:szCs w:val="18"/>
    </w:rPr>
  </w:style>
  <w:style w:type="paragraph" w:styleId="IOROEq">
    <w:name w:val="IORO Equation"/>
    <w:basedOn w:val="Normal"/>
    <w:next w:val="IOROBody"/>
    <w:qFormat/>
    <w:pPr>
      <w:spacing w:after="80" w:before="80"/>
      <w:jc w:val="center"/>
    </w:pPr>
    <w:rPr>
      <w:rFonts w:ascii="Cambria Math" w:cs="Cambria Math" w:eastAsia="Cambria Math" w:hAnsi="Cambria Math"/>
      <w:sz w:val="22"/>
      <w:szCs w:val="22"/>
    </w:rPr>
  </w:style>
  <w:style w:type="paragraph" w:styleId="IOROBackHead">
    <w:name w:val="IORO Back-Matter Heading"/>
    <w:basedOn w:val="Normal"/>
    <w:next w:val="IOROBody"/>
    <w:qFormat/>
    <w:pPr>
      <w:keepNext/>
      <w:pBdr>
        <w:bottom w:val="single" w:color="D5DEE5" w:sz="6" w:space="4"/>
      </w:pBdr>
      <w:spacing w:after="120" w:before="240"/>
    </w:pPr>
    <w:rPr>
      <w:rFonts w:ascii="Calibri" w:cs="Calibri" w:eastAsia="Calibri" w:hAnsi="Calibri"/>
      <w:b/>
      <w:bCs/>
      <w:color w:val="15384F"/>
      <w:sz w:val="26"/>
      <w:szCs w:val="26"/>
    </w:rPr>
  </w:style>
  <w:style w:type="paragraph" w:styleId="IORORef">
    <w:name w:val="IORO Reference"/>
    <w:basedOn w:val="Normal"/>
    <w:next w:val="IORORef"/>
    <w:qFormat/>
    <w:pPr>
      <w:spacing w:after="60" w:line="252" w:lineRule="auto"/>
      <w:jc w:val="both"/>
    </w:pPr>
    <w:rPr>
      <w:rFonts w:ascii="Calibri" w:cs="Calibri" w:eastAsia="Calibri" w:hAnsi="Calibri"/>
      <w:sz w:val="20"/>
      <w:szCs w:val="20"/>
    </w:rPr>
  </w:style>
  <w:style w:type="paragraph" w:styleId="IOROMeta">
    <w:name w:val="IORO Masthead Meta"/>
    <w:basedOn w:val="Normal"/>
    <w:next w:val="IOROMeta"/>
    <w:qFormat/>
    <w:pPr>
      <w:spacing w:after="20"/>
    </w:pPr>
    <w:rPr>
      <w:rFonts w:ascii="Calibri" w:cs="Calibri" w:eastAsia="Calibri" w:hAnsi="Calibri"/>
      <w:color w:val="222222"/>
      <w:sz w:val="18"/>
      <w:szCs w:val="18"/>
    </w:rPr>
  </w:style>
  <w:style w:type="paragraph" w:styleId="IOROHeaderFooter">
    <w:name w:val="IORO Header Footer"/>
    <w:basedOn w:val="Normal"/>
    <w:next w:val="IOROHeaderFooter"/>
    <w:pPr>
      <w:spacing w:after="0"/>
    </w:pPr>
    <w:rPr>
      <w:rFonts w:ascii="Calibri" w:cs="Calibri" w:eastAsia="Calibri" w:hAnsi="Calibri"/>
      <w:color w:val="6A6A6A"/>
      <w:sz w:val="16"/>
      <w:szCs w:val="1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 Id="rId10" Type="http://schemas.openxmlformats.org/officeDocument/2006/relationships/footer" Target="footer2.xml"/><Relationship Id="rId11" Type="http://schemas.openxmlformats.org/officeDocument/2006/relationships/image" Target="media/56582406c93a0b0805cf453d6ac3eebda58b32e0.png"/><Relationship Id="rId12"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er2.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word/_rels/header2.xml.rels><?xml version="1.0" encoding="UTF-8"?><Relationships xmlns="http://schemas.openxmlformats.org/package/2006/relationships"><Relationship Id="rId0" Type="http://schemas.openxmlformats.org/officeDocument/2006/relationships/image" Target="media/af146584e4fe73418e3c427b2465245743d36ab4.png"/><Relationship Id="rId1" Type="http://schemas.openxmlformats.org/officeDocument/2006/relationships/image" Target="media/0c62f16c75b6dff6774cb4b12313a19d2516a71a.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IORO Master Article Template</dc:title>
  <dc:creator>IORO Publications</dc:creator>
  <dc:description>Official manuscript template for IORO Publications journals</dc:description>
  <cp:lastModifiedBy>Un-named</cp:lastModifiedBy>
  <cp:revision>1</cp:revision>
  <dcterms:created xsi:type="dcterms:W3CDTF">2026-06-28T17:56:36.108Z</dcterms:created>
  <dcterms:modified xsi:type="dcterms:W3CDTF">2026-06-28T17:56:36.108Z</dcterms:modified>
</cp:coreProperties>
</file>

<file path=docProps/custom.xml><?xml version="1.0" encoding="utf-8"?>
<Properties xmlns="http://schemas.openxmlformats.org/officeDocument/2006/custom-properties" xmlns:vt="http://schemas.openxmlformats.org/officeDocument/2006/docPropsVTypes"/>
</file>